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C0" w:rsidRDefault="005160C0" w:rsidP="00A5454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University of North Carolina at Greensboro (UNCG)</w:t>
      </w:r>
      <w:bookmarkStart w:id="0" w:name="_GoBack"/>
      <w:bookmarkEnd w:id="0"/>
    </w:p>
    <w:p w:rsidR="00A54545" w:rsidRPr="0053700C" w:rsidRDefault="00A54545" w:rsidP="00A54545">
      <w:pPr>
        <w:spacing w:after="0"/>
        <w:rPr>
          <w:b/>
          <w:sz w:val="28"/>
          <w:szCs w:val="28"/>
        </w:rPr>
      </w:pPr>
      <w:r w:rsidRPr="0053700C">
        <w:rPr>
          <w:b/>
          <w:sz w:val="28"/>
          <w:szCs w:val="28"/>
        </w:rPr>
        <w:t>Stan</w:t>
      </w:r>
      <w:r w:rsidR="0053700C" w:rsidRPr="0053700C">
        <w:rPr>
          <w:b/>
          <w:sz w:val="28"/>
          <w:szCs w:val="28"/>
        </w:rPr>
        <w:t>dards for Organizational Charts</w:t>
      </w:r>
    </w:p>
    <w:p w:rsidR="00A54545" w:rsidRPr="0053700C" w:rsidRDefault="00A54545" w:rsidP="00A54545">
      <w:pPr>
        <w:spacing w:after="0"/>
        <w:rPr>
          <w:sz w:val="20"/>
          <w:szCs w:val="20"/>
        </w:rPr>
      </w:pPr>
      <w:r w:rsidRPr="0053700C">
        <w:rPr>
          <w:sz w:val="20"/>
          <w:szCs w:val="20"/>
        </w:rPr>
        <w:t>Organization</w:t>
      </w:r>
      <w:r w:rsidR="00A30DF7">
        <w:rPr>
          <w:sz w:val="20"/>
          <w:szCs w:val="20"/>
        </w:rPr>
        <w:t>al</w:t>
      </w:r>
      <w:r w:rsidRPr="0053700C">
        <w:rPr>
          <w:sz w:val="20"/>
          <w:szCs w:val="20"/>
        </w:rPr>
        <w:t xml:space="preserve"> Charts show</w:t>
      </w:r>
      <w:r w:rsidR="00A30DF7">
        <w:rPr>
          <w:sz w:val="20"/>
          <w:szCs w:val="20"/>
        </w:rPr>
        <w:t>s</w:t>
      </w:r>
      <w:r w:rsidRPr="0053700C">
        <w:rPr>
          <w:sz w:val="20"/>
          <w:szCs w:val="20"/>
        </w:rPr>
        <w:t xml:space="preserve"> the structure of an organization and the relationships and r</w:t>
      </w:r>
      <w:r w:rsidR="0053700C">
        <w:rPr>
          <w:sz w:val="20"/>
          <w:szCs w:val="20"/>
        </w:rPr>
        <w:t xml:space="preserve">elative ranks of its positions.  </w:t>
      </w:r>
      <w:r w:rsidRPr="0053700C">
        <w:rPr>
          <w:sz w:val="20"/>
          <w:szCs w:val="20"/>
        </w:rPr>
        <w:t xml:space="preserve">To ensure consistency, organizational charts at </w:t>
      </w:r>
      <w:r w:rsidR="00DE7CDC">
        <w:rPr>
          <w:sz w:val="20"/>
          <w:szCs w:val="20"/>
        </w:rPr>
        <w:t>UNCG</w:t>
      </w:r>
      <w:r w:rsidRPr="0053700C">
        <w:rPr>
          <w:sz w:val="20"/>
          <w:szCs w:val="20"/>
        </w:rPr>
        <w:t xml:space="preserve"> should follow the guidelines as outlined in this document. </w:t>
      </w:r>
    </w:p>
    <w:p w:rsidR="00A54545" w:rsidRPr="0053700C" w:rsidRDefault="00A54545" w:rsidP="00A54545">
      <w:pPr>
        <w:pStyle w:val="Heading1"/>
        <w:rPr>
          <w:b/>
          <w:color w:val="auto"/>
          <w:sz w:val="24"/>
          <w:szCs w:val="24"/>
        </w:rPr>
      </w:pPr>
      <w:r w:rsidRPr="0053700C">
        <w:rPr>
          <w:b/>
          <w:color w:val="auto"/>
          <w:sz w:val="24"/>
          <w:szCs w:val="24"/>
        </w:rPr>
        <w:t>CREATING AN ORGANIZATIONAL CHART</w:t>
      </w:r>
    </w:p>
    <w:p w:rsidR="0053700C" w:rsidRPr="0053700C" w:rsidRDefault="0053700C" w:rsidP="0053700C">
      <w:pPr>
        <w:spacing w:after="0"/>
        <w:rPr>
          <w:sz w:val="20"/>
          <w:szCs w:val="20"/>
        </w:rPr>
      </w:pPr>
      <w:r w:rsidRPr="0053700C">
        <w:rPr>
          <w:sz w:val="20"/>
          <w:szCs w:val="20"/>
        </w:rPr>
        <w:t>Identifying information should be included in</w:t>
      </w:r>
      <w:r>
        <w:rPr>
          <w:sz w:val="20"/>
          <w:szCs w:val="20"/>
        </w:rPr>
        <w:t xml:space="preserve"> the upper left</w:t>
      </w:r>
      <w:r w:rsidRPr="0053700C">
        <w:rPr>
          <w:sz w:val="20"/>
          <w:szCs w:val="20"/>
        </w:rPr>
        <w:t xml:space="preserve"> corner of the chart stating:</w:t>
      </w:r>
    </w:p>
    <w:p w:rsidR="0053700C" w:rsidRPr="0053700C" w:rsidRDefault="0053700C" w:rsidP="0053700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53700C">
        <w:rPr>
          <w:sz w:val="20"/>
          <w:szCs w:val="20"/>
        </w:rPr>
        <w:t>University Name</w:t>
      </w:r>
    </w:p>
    <w:p w:rsidR="0053700C" w:rsidRPr="0053700C" w:rsidRDefault="0053700C" w:rsidP="0053700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53700C">
        <w:rPr>
          <w:sz w:val="20"/>
          <w:szCs w:val="20"/>
        </w:rPr>
        <w:t>Division Name</w:t>
      </w:r>
    </w:p>
    <w:p w:rsidR="0053700C" w:rsidRPr="0053700C" w:rsidRDefault="0053700C" w:rsidP="0053700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53700C">
        <w:rPr>
          <w:sz w:val="20"/>
          <w:szCs w:val="20"/>
        </w:rPr>
        <w:t>Department</w:t>
      </w:r>
      <w:r w:rsidR="000C4BDB">
        <w:rPr>
          <w:sz w:val="20"/>
          <w:szCs w:val="20"/>
        </w:rPr>
        <w:t>/College</w:t>
      </w:r>
      <w:r w:rsidRPr="0053700C">
        <w:rPr>
          <w:sz w:val="20"/>
          <w:szCs w:val="20"/>
        </w:rPr>
        <w:t xml:space="preserve"> Name</w:t>
      </w:r>
      <w:r w:rsidR="00A30DF7">
        <w:rPr>
          <w:sz w:val="20"/>
          <w:szCs w:val="20"/>
        </w:rPr>
        <w:t xml:space="preserve"> (Not required if you do not work in a department</w:t>
      </w:r>
      <w:r w:rsidR="00E1707A">
        <w:rPr>
          <w:sz w:val="20"/>
          <w:szCs w:val="20"/>
        </w:rPr>
        <w:t>/college</w:t>
      </w:r>
      <w:r w:rsidR="00DE7CDC">
        <w:rPr>
          <w:sz w:val="20"/>
          <w:szCs w:val="20"/>
        </w:rPr>
        <w:t xml:space="preserve"> such as Business Affairs</w:t>
      </w:r>
      <w:r w:rsidR="00A30DF7">
        <w:rPr>
          <w:sz w:val="20"/>
          <w:szCs w:val="20"/>
        </w:rPr>
        <w:t>, Chancellor’s Office, etc.)</w:t>
      </w:r>
    </w:p>
    <w:p w:rsidR="00A54545" w:rsidRPr="0053700C" w:rsidRDefault="0053700C" w:rsidP="0053700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53700C">
        <w:rPr>
          <w:sz w:val="20"/>
          <w:szCs w:val="20"/>
        </w:rPr>
        <w:t>Date Prepared</w:t>
      </w:r>
    </w:p>
    <w:tbl>
      <w:tblPr>
        <w:tblStyle w:val="TableGrid"/>
        <w:tblW w:w="0" w:type="auto"/>
        <w:tblInd w:w="3438" w:type="dxa"/>
        <w:tblLook w:val="04A0" w:firstRow="1" w:lastRow="0" w:firstColumn="1" w:lastColumn="0" w:noHBand="0" w:noVBand="1"/>
      </w:tblPr>
      <w:tblGrid>
        <w:gridCol w:w="1890"/>
        <w:gridCol w:w="4122"/>
      </w:tblGrid>
      <w:tr w:rsidR="0053700C" w:rsidRPr="0053700C" w:rsidTr="00DE7CDC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00C" w:rsidRPr="0053700C" w:rsidRDefault="0053700C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  <w:r w:rsidRPr="0053700C">
              <w:rPr>
                <w:color w:val="000000"/>
              </w:rPr>
              <w:t>Example:</w:t>
            </w:r>
          </w:p>
        </w:tc>
        <w:tc>
          <w:tcPr>
            <w:tcW w:w="4122" w:type="dxa"/>
            <w:tcBorders>
              <w:left w:val="single" w:sz="4" w:space="0" w:color="auto"/>
              <w:bottom w:val="nil"/>
            </w:tcBorders>
          </w:tcPr>
          <w:p w:rsidR="0053700C" w:rsidRPr="0053700C" w:rsidRDefault="00DE7CDC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University of North Carolina at Greensboro</w:t>
            </w:r>
          </w:p>
        </w:tc>
      </w:tr>
      <w:tr w:rsidR="0053700C" w:rsidRPr="0053700C" w:rsidTr="00DE7CDC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00C" w:rsidRPr="0053700C" w:rsidRDefault="0053700C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nil"/>
            </w:tcBorders>
          </w:tcPr>
          <w:p w:rsidR="0053700C" w:rsidRPr="0053700C" w:rsidRDefault="0053700C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  <w:r w:rsidRPr="0053700C">
              <w:rPr>
                <w:color w:val="000000"/>
              </w:rPr>
              <w:t>Academic Affairs</w:t>
            </w:r>
          </w:p>
        </w:tc>
      </w:tr>
      <w:tr w:rsidR="0053700C" w:rsidRPr="0053700C" w:rsidTr="00DE7CDC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00C" w:rsidRPr="0053700C" w:rsidRDefault="0053700C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nil"/>
            </w:tcBorders>
          </w:tcPr>
          <w:p w:rsidR="0053700C" w:rsidRPr="0053700C" w:rsidRDefault="00DE7CDC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Bryan School of Business and Economics</w:t>
            </w:r>
          </w:p>
        </w:tc>
      </w:tr>
      <w:tr w:rsidR="0053700C" w:rsidRPr="0053700C" w:rsidTr="00DE7CDC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00C" w:rsidRPr="0053700C" w:rsidRDefault="0053700C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700C" w:rsidRPr="0053700C" w:rsidRDefault="0053700C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  <w:r w:rsidRPr="0053700C">
              <w:rPr>
                <w:color w:val="000000"/>
              </w:rPr>
              <w:t>January 2017</w:t>
            </w:r>
          </w:p>
        </w:tc>
      </w:tr>
    </w:tbl>
    <w:p w:rsidR="0053700C" w:rsidRPr="0053700C" w:rsidRDefault="0053700C" w:rsidP="0053700C">
      <w:pPr>
        <w:spacing w:after="0"/>
        <w:rPr>
          <w:sz w:val="20"/>
          <w:szCs w:val="20"/>
        </w:rPr>
      </w:pPr>
    </w:p>
    <w:p w:rsidR="00A54545" w:rsidRPr="0053700C" w:rsidRDefault="00A54545" w:rsidP="00A54545">
      <w:pPr>
        <w:spacing w:after="0"/>
        <w:rPr>
          <w:sz w:val="20"/>
          <w:szCs w:val="20"/>
        </w:rPr>
      </w:pPr>
      <w:r w:rsidRPr="0053700C">
        <w:rPr>
          <w:sz w:val="20"/>
          <w:szCs w:val="20"/>
        </w:rPr>
        <w:t>Each position on the organization</w:t>
      </w:r>
      <w:r w:rsidR="00A30DF7">
        <w:rPr>
          <w:sz w:val="20"/>
          <w:szCs w:val="20"/>
        </w:rPr>
        <w:t>al</w:t>
      </w:r>
      <w:r w:rsidRPr="0053700C">
        <w:rPr>
          <w:sz w:val="20"/>
          <w:szCs w:val="20"/>
        </w:rPr>
        <w:t xml:space="preserve"> chart should be identified by:</w:t>
      </w:r>
    </w:p>
    <w:p w:rsidR="00A54545" w:rsidRPr="0053700C" w:rsidRDefault="00A54545" w:rsidP="0053700C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53700C">
        <w:rPr>
          <w:sz w:val="20"/>
          <w:szCs w:val="20"/>
        </w:rPr>
        <w:t>Position Number</w:t>
      </w:r>
    </w:p>
    <w:p w:rsidR="00A54545" w:rsidRPr="0053700C" w:rsidRDefault="00A54545" w:rsidP="0053700C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53700C">
        <w:rPr>
          <w:sz w:val="20"/>
          <w:szCs w:val="20"/>
        </w:rPr>
        <w:t>Employee’s Name</w:t>
      </w:r>
    </w:p>
    <w:p w:rsidR="00A54545" w:rsidRPr="0053700C" w:rsidRDefault="00A54545" w:rsidP="0053700C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53700C">
        <w:rPr>
          <w:sz w:val="20"/>
          <w:szCs w:val="20"/>
        </w:rPr>
        <w:t>Title</w:t>
      </w:r>
    </w:p>
    <w:p w:rsidR="00A54545" w:rsidRPr="0053700C" w:rsidRDefault="00A54545" w:rsidP="0053700C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53700C">
        <w:rPr>
          <w:sz w:val="20"/>
          <w:szCs w:val="20"/>
        </w:rPr>
        <w:t>SHRA or EHRA</w:t>
      </w:r>
    </w:p>
    <w:p w:rsidR="0052482D" w:rsidRPr="0053700C" w:rsidRDefault="00A54545" w:rsidP="0053700C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53700C">
        <w:rPr>
          <w:sz w:val="20"/>
          <w:szCs w:val="20"/>
        </w:rPr>
        <w:t>Contributing, Journey, or Advanced (if SHRA)</w:t>
      </w:r>
    </w:p>
    <w:p w:rsidR="00A54545" w:rsidRPr="0053700C" w:rsidRDefault="00A54545" w:rsidP="00A54545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3438" w:type="dxa"/>
        <w:tblLook w:val="04A0" w:firstRow="1" w:lastRow="0" w:firstColumn="1" w:lastColumn="0" w:noHBand="0" w:noVBand="1"/>
      </w:tblPr>
      <w:tblGrid>
        <w:gridCol w:w="1890"/>
        <w:gridCol w:w="3928"/>
      </w:tblGrid>
      <w:tr w:rsidR="00A54545" w:rsidRPr="0053700C" w:rsidTr="00C328BE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545" w:rsidRPr="0053700C" w:rsidRDefault="00A54545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  <w:r w:rsidRPr="0053700C">
              <w:rPr>
                <w:color w:val="000000"/>
              </w:rPr>
              <w:t>Example:</w:t>
            </w:r>
          </w:p>
        </w:tc>
        <w:tc>
          <w:tcPr>
            <w:tcW w:w="3928" w:type="dxa"/>
            <w:tcBorders>
              <w:left w:val="single" w:sz="4" w:space="0" w:color="auto"/>
              <w:bottom w:val="nil"/>
            </w:tcBorders>
          </w:tcPr>
          <w:p w:rsidR="00A54545" w:rsidRPr="0053700C" w:rsidRDefault="00A54545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  <w:r w:rsidRPr="0053700C">
              <w:rPr>
                <w:color w:val="000000"/>
              </w:rPr>
              <w:t>009999</w:t>
            </w:r>
          </w:p>
        </w:tc>
      </w:tr>
      <w:tr w:rsidR="00A54545" w:rsidRPr="0053700C" w:rsidTr="00C328BE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545" w:rsidRPr="0053700C" w:rsidRDefault="00A54545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</w:tcBorders>
          </w:tcPr>
          <w:p w:rsidR="00A54545" w:rsidRPr="0053700C" w:rsidRDefault="00A54545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  <w:r w:rsidRPr="0053700C">
              <w:rPr>
                <w:color w:val="000000"/>
              </w:rPr>
              <w:t>Jane Doe</w:t>
            </w:r>
          </w:p>
        </w:tc>
      </w:tr>
      <w:tr w:rsidR="00A54545" w:rsidRPr="0053700C" w:rsidTr="00C328BE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545" w:rsidRPr="0053700C" w:rsidRDefault="00A54545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</w:tcBorders>
          </w:tcPr>
          <w:p w:rsidR="00A54545" w:rsidRPr="0053700C" w:rsidRDefault="00A54545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  <w:r w:rsidRPr="0053700C">
              <w:rPr>
                <w:color w:val="000000"/>
              </w:rPr>
              <w:t>Student Services Specialist</w:t>
            </w:r>
          </w:p>
        </w:tc>
      </w:tr>
      <w:tr w:rsidR="00A54545" w:rsidRPr="0053700C" w:rsidTr="00C328BE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545" w:rsidRPr="0053700C" w:rsidRDefault="00A54545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</w:tcBorders>
          </w:tcPr>
          <w:p w:rsidR="00A54545" w:rsidRPr="0053700C" w:rsidRDefault="00A54545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  <w:r w:rsidRPr="0053700C">
              <w:rPr>
                <w:color w:val="000000"/>
              </w:rPr>
              <w:t>SHRA</w:t>
            </w:r>
          </w:p>
        </w:tc>
      </w:tr>
      <w:tr w:rsidR="00A54545" w:rsidRPr="0053700C" w:rsidTr="00C328BE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545" w:rsidRPr="0053700C" w:rsidRDefault="00A54545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4545" w:rsidRPr="0053700C" w:rsidRDefault="00A54545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  <w:r w:rsidRPr="0053700C">
              <w:rPr>
                <w:color w:val="000000"/>
              </w:rPr>
              <w:t>J</w:t>
            </w:r>
          </w:p>
        </w:tc>
      </w:tr>
    </w:tbl>
    <w:p w:rsidR="00A54545" w:rsidRPr="0053700C" w:rsidRDefault="00A54545" w:rsidP="00A54545">
      <w:pPr>
        <w:spacing w:after="0"/>
        <w:rPr>
          <w:sz w:val="20"/>
          <w:szCs w:val="20"/>
        </w:rPr>
      </w:pPr>
    </w:p>
    <w:p w:rsidR="00A54545" w:rsidRPr="0053700C" w:rsidRDefault="00A54545" w:rsidP="00A54545">
      <w:pPr>
        <w:spacing w:after="0"/>
        <w:rPr>
          <w:sz w:val="20"/>
          <w:szCs w:val="20"/>
        </w:rPr>
      </w:pPr>
      <w:r w:rsidRPr="0053700C">
        <w:rPr>
          <w:sz w:val="20"/>
          <w:szCs w:val="20"/>
        </w:rPr>
        <w:t>Multiple positions of the same classification reporting to the same supervisor can be combined in one box.</w:t>
      </w:r>
    </w:p>
    <w:p w:rsidR="00A54545" w:rsidRPr="0053700C" w:rsidRDefault="00A54545" w:rsidP="00A54545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1260"/>
        <w:gridCol w:w="5368"/>
      </w:tblGrid>
      <w:tr w:rsidR="00A54545" w:rsidRPr="0053700C" w:rsidTr="00C328BE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545" w:rsidRPr="0053700C" w:rsidRDefault="00A54545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  <w:r w:rsidRPr="0053700C">
              <w:rPr>
                <w:color w:val="000000"/>
              </w:rPr>
              <w:t>Example:</w:t>
            </w:r>
          </w:p>
        </w:tc>
        <w:tc>
          <w:tcPr>
            <w:tcW w:w="5368" w:type="dxa"/>
            <w:tcBorders>
              <w:left w:val="single" w:sz="4" w:space="0" w:color="auto"/>
              <w:bottom w:val="nil"/>
            </w:tcBorders>
          </w:tcPr>
          <w:p w:rsidR="00A54545" w:rsidRPr="0053700C" w:rsidRDefault="00A54545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  <w:r w:rsidRPr="0053700C">
              <w:rPr>
                <w:color w:val="000000"/>
              </w:rPr>
              <w:t>001116</w:t>
            </w:r>
          </w:p>
        </w:tc>
      </w:tr>
      <w:tr w:rsidR="00A54545" w:rsidRPr="0053700C" w:rsidTr="00C328BE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545" w:rsidRPr="0053700C" w:rsidRDefault="00A54545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</w:tcBorders>
          </w:tcPr>
          <w:p w:rsidR="00A54545" w:rsidRPr="0053700C" w:rsidRDefault="00A54545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  <w:r w:rsidRPr="0053700C">
              <w:rPr>
                <w:color w:val="000000"/>
              </w:rPr>
              <w:t>John Doe</w:t>
            </w:r>
          </w:p>
        </w:tc>
      </w:tr>
      <w:tr w:rsidR="00A54545" w:rsidRPr="0053700C" w:rsidTr="00C328BE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545" w:rsidRPr="0053700C" w:rsidRDefault="00A54545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</w:tcBorders>
          </w:tcPr>
          <w:p w:rsidR="00A54545" w:rsidRPr="0053700C" w:rsidRDefault="00A54545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  <w:r w:rsidRPr="0053700C">
              <w:rPr>
                <w:color w:val="000000"/>
              </w:rPr>
              <w:t>Building and Environmental Supervisor</w:t>
            </w:r>
          </w:p>
        </w:tc>
      </w:tr>
      <w:tr w:rsidR="00A54545" w:rsidRPr="0053700C" w:rsidTr="00C328BE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545" w:rsidRPr="0053700C" w:rsidRDefault="00A54545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</w:tcBorders>
          </w:tcPr>
          <w:p w:rsidR="00A54545" w:rsidRPr="0053700C" w:rsidRDefault="00A54545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  <w:r w:rsidRPr="0053700C">
              <w:rPr>
                <w:color w:val="000000"/>
              </w:rPr>
              <w:t>SHRA</w:t>
            </w:r>
          </w:p>
        </w:tc>
      </w:tr>
      <w:tr w:rsidR="00A54545" w:rsidRPr="0053700C" w:rsidTr="00C328BE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545" w:rsidRPr="0053700C" w:rsidRDefault="00A54545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4545" w:rsidRPr="0053700C" w:rsidRDefault="00A54545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  <w:r w:rsidRPr="0053700C">
              <w:rPr>
                <w:color w:val="000000"/>
              </w:rPr>
              <w:t>J</w:t>
            </w:r>
          </w:p>
        </w:tc>
      </w:tr>
      <w:tr w:rsidR="00A54545" w:rsidRPr="0053700C" w:rsidTr="00C328BE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54545" w:rsidRPr="0053700C" w:rsidRDefault="00A54545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545" w:rsidRPr="0053700C" w:rsidRDefault="00A54545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  <w:r w:rsidRPr="0053700C">
              <w:rPr>
                <w:color w:val="000000"/>
              </w:rPr>
              <w:t>I</w:t>
            </w:r>
          </w:p>
        </w:tc>
      </w:tr>
      <w:tr w:rsidR="00A54545" w:rsidRPr="0053700C" w:rsidTr="00C328BE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545" w:rsidRPr="0053700C" w:rsidRDefault="00A54545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4545" w:rsidRPr="0053700C" w:rsidRDefault="00A54545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  <w:r w:rsidRPr="0053700C">
              <w:rPr>
                <w:color w:val="000000"/>
              </w:rPr>
              <w:t xml:space="preserve">001112 John Doe II </w:t>
            </w:r>
            <w:proofErr w:type="spellStart"/>
            <w:r w:rsidRPr="0053700C">
              <w:rPr>
                <w:color w:val="000000"/>
              </w:rPr>
              <w:t>Bldg</w:t>
            </w:r>
            <w:proofErr w:type="spellEnd"/>
            <w:r w:rsidRPr="0053700C">
              <w:rPr>
                <w:color w:val="000000"/>
              </w:rPr>
              <w:t xml:space="preserve"> </w:t>
            </w:r>
            <w:proofErr w:type="spellStart"/>
            <w:r w:rsidRPr="0053700C">
              <w:rPr>
                <w:color w:val="000000"/>
              </w:rPr>
              <w:t>Env</w:t>
            </w:r>
            <w:proofErr w:type="spellEnd"/>
            <w:r w:rsidRPr="0053700C">
              <w:rPr>
                <w:color w:val="000000"/>
              </w:rPr>
              <w:t xml:space="preserve"> </w:t>
            </w:r>
            <w:proofErr w:type="spellStart"/>
            <w:r w:rsidRPr="0053700C">
              <w:rPr>
                <w:color w:val="000000"/>
              </w:rPr>
              <w:t>Serv</w:t>
            </w:r>
            <w:proofErr w:type="spellEnd"/>
            <w:r w:rsidRPr="0053700C">
              <w:rPr>
                <w:color w:val="000000"/>
              </w:rPr>
              <w:t xml:space="preserve"> Tech SHRA C</w:t>
            </w:r>
          </w:p>
        </w:tc>
      </w:tr>
      <w:tr w:rsidR="00A54545" w:rsidRPr="0053700C" w:rsidTr="00C328BE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545" w:rsidRPr="0053700C" w:rsidRDefault="00A54545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</w:tcBorders>
          </w:tcPr>
          <w:p w:rsidR="00A54545" w:rsidRPr="0053700C" w:rsidRDefault="00A54545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  <w:r w:rsidRPr="0053700C">
              <w:rPr>
                <w:color w:val="000000"/>
              </w:rPr>
              <w:t xml:space="preserve">001113 John Doe III </w:t>
            </w:r>
            <w:proofErr w:type="spellStart"/>
            <w:r w:rsidRPr="0053700C">
              <w:rPr>
                <w:color w:val="000000"/>
              </w:rPr>
              <w:t>Bldg</w:t>
            </w:r>
            <w:proofErr w:type="spellEnd"/>
            <w:r w:rsidRPr="0053700C">
              <w:rPr>
                <w:color w:val="000000"/>
              </w:rPr>
              <w:t xml:space="preserve"> </w:t>
            </w:r>
            <w:proofErr w:type="spellStart"/>
            <w:r w:rsidRPr="0053700C">
              <w:rPr>
                <w:color w:val="000000"/>
              </w:rPr>
              <w:t>Env</w:t>
            </w:r>
            <w:proofErr w:type="spellEnd"/>
            <w:r w:rsidRPr="0053700C">
              <w:rPr>
                <w:color w:val="000000"/>
              </w:rPr>
              <w:t xml:space="preserve"> </w:t>
            </w:r>
            <w:proofErr w:type="spellStart"/>
            <w:r w:rsidRPr="0053700C">
              <w:rPr>
                <w:color w:val="000000"/>
              </w:rPr>
              <w:t>Serv</w:t>
            </w:r>
            <w:proofErr w:type="spellEnd"/>
            <w:r w:rsidRPr="0053700C">
              <w:rPr>
                <w:color w:val="000000"/>
              </w:rPr>
              <w:t xml:space="preserve"> Tech SHRA C</w:t>
            </w:r>
          </w:p>
        </w:tc>
      </w:tr>
      <w:tr w:rsidR="00A54545" w:rsidRPr="0053700C" w:rsidTr="00C328BE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545" w:rsidRPr="0053700C" w:rsidRDefault="00A54545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</w:tcBorders>
          </w:tcPr>
          <w:p w:rsidR="00A54545" w:rsidRPr="0053700C" w:rsidRDefault="00A54545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  <w:r w:rsidRPr="0053700C">
              <w:rPr>
                <w:color w:val="000000"/>
              </w:rPr>
              <w:t xml:space="preserve">001114 John Doe IV </w:t>
            </w:r>
            <w:proofErr w:type="spellStart"/>
            <w:r w:rsidRPr="0053700C">
              <w:rPr>
                <w:color w:val="000000"/>
              </w:rPr>
              <w:t>Bldg</w:t>
            </w:r>
            <w:proofErr w:type="spellEnd"/>
            <w:r w:rsidRPr="0053700C">
              <w:rPr>
                <w:color w:val="000000"/>
              </w:rPr>
              <w:t xml:space="preserve"> </w:t>
            </w:r>
            <w:proofErr w:type="spellStart"/>
            <w:r w:rsidRPr="0053700C">
              <w:rPr>
                <w:color w:val="000000"/>
              </w:rPr>
              <w:t>Env</w:t>
            </w:r>
            <w:proofErr w:type="spellEnd"/>
            <w:r w:rsidRPr="0053700C">
              <w:rPr>
                <w:color w:val="000000"/>
              </w:rPr>
              <w:t xml:space="preserve"> </w:t>
            </w:r>
            <w:proofErr w:type="spellStart"/>
            <w:r w:rsidRPr="0053700C">
              <w:rPr>
                <w:color w:val="000000"/>
              </w:rPr>
              <w:t>Serv</w:t>
            </w:r>
            <w:proofErr w:type="spellEnd"/>
            <w:r w:rsidRPr="0053700C">
              <w:rPr>
                <w:color w:val="000000"/>
              </w:rPr>
              <w:t xml:space="preserve"> Tech SHRA C</w:t>
            </w:r>
          </w:p>
        </w:tc>
      </w:tr>
      <w:tr w:rsidR="00A54545" w:rsidRPr="0053700C" w:rsidTr="00C328BE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545" w:rsidRPr="0053700C" w:rsidRDefault="00A54545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4545" w:rsidRPr="0053700C" w:rsidRDefault="00A54545" w:rsidP="00C328BE">
            <w:pPr>
              <w:pStyle w:val="BodyText"/>
              <w:kinsoku w:val="0"/>
              <w:overflowPunct w:val="0"/>
              <w:ind w:left="0"/>
              <w:jc w:val="center"/>
              <w:rPr>
                <w:color w:val="000000"/>
              </w:rPr>
            </w:pPr>
            <w:r w:rsidRPr="0053700C">
              <w:rPr>
                <w:color w:val="000000"/>
              </w:rPr>
              <w:t xml:space="preserve">001115 John Doe V </w:t>
            </w:r>
            <w:proofErr w:type="spellStart"/>
            <w:r w:rsidRPr="0053700C">
              <w:rPr>
                <w:color w:val="000000"/>
              </w:rPr>
              <w:t>Bldg</w:t>
            </w:r>
            <w:proofErr w:type="spellEnd"/>
            <w:r w:rsidRPr="0053700C">
              <w:rPr>
                <w:color w:val="000000"/>
              </w:rPr>
              <w:t xml:space="preserve"> </w:t>
            </w:r>
            <w:proofErr w:type="spellStart"/>
            <w:r w:rsidRPr="0053700C">
              <w:rPr>
                <w:color w:val="000000"/>
              </w:rPr>
              <w:t>Env</w:t>
            </w:r>
            <w:proofErr w:type="spellEnd"/>
            <w:r w:rsidRPr="0053700C">
              <w:rPr>
                <w:color w:val="000000"/>
              </w:rPr>
              <w:t xml:space="preserve"> </w:t>
            </w:r>
            <w:proofErr w:type="spellStart"/>
            <w:r w:rsidRPr="0053700C">
              <w:rPr>
                <w:color w:val="000000"/>
              </w:rPr>
              <w:t>Serv</w:t>
            </w:r>
            <w:proofErr w:type="spellEnd"/>
            <w:r w:rsidRPr="0053700C">
              <w:rPr>
                <w:color w:val="000000"/>
              </w:rPr>
              <w:t xml:space="preserve"> Tech SHRA C</w:t>
            </w:r>
          </w:p>
        </w:tc>
      </w:tr>
    </w:tbl>
    <w:p w:rsidR="00A54545" w:rsidRPr="0053700C" w:rsidRDefault="00A54545" w:rsidP="00A54545">
      <w:pPr>
        <w:spacing w:after="0"/>
        <w:rPr>
          <w:sz w:val="20"/>
          <w:szCs w:val="20"/>
        </w:rPr>
      </w:pPr>
    </w:p>
    <w:p w:rsidR="00A54545" w:rsidRPr="0053700C" w:rsidRDefault="00A54545" w:rsidP="00A54545">
      <w:pPr>
        <w:spacing w:after="0"/>
        <w:rPr>
          <w:sz w:val="20"/>
          <w:szCs w:val="20"/>
        </w:rPr>
      </w:pPr>
      <w:r w:rsidRPr="0053700C">
        <w:rPr>
          <w:sz w:val="20"/>
          <w:szCs w:val="20"/>
        </w:rPr>
        <w:t xml:space="preserve">Temporary positions and students should </w:t>
      </w:r>
      <w:r w:rsidRPr="0053700C">
        <w:rPr>
          <w:b/>
          <w:sz w:val="20"/>
          <w:szCs w:val="20"/>
          <w:u w:val="single"/>
        </w:rPr>
        <w:t>not</w:t>
      </w:r>
      <w:r w:rsidRPr="0053700C">
        <w:rPr>
          <w:sz w:val="20"/>
          <w:szCs w:val="20"/>
        </w:rPr>
        <w:t xml:space="preserve"> be included on the organizational chart. </w:t>
      </w:r>
    </w:p>
    <w:p w:rsidR="00A54545" w:rsidRPr="0053700C" w:rsidRDefault="00A54545" w:rsidP="00A54545">
      <w:pPr>
        <w:pStyle w:val="Heading1"/>
        <w:rPr>
          <w:b/>
          <w:color w:val="auto"/>
          <w:sz w:val="24"/>
          <w:szCs w:val="24"/>
        </w:rPr>
      </w:pPr>
      <w:r w:rsidRPr="0053700C">
        <w:rPr>
          <w:b/>
          <w:color w:val="auto"/>
          <w:sz w:val="24"/>
          <w:szCs w:val="24"/>
        </w:rPr>
        <w:t>SUB-UNITS</w:t>
      </w:r>
    </w:p>
    <w:p w:rsidR="00A54545" w:rsidRPr="0053700C" w:rsidRDefault="00A54545" w:rsidP="00A54545">
      <w:pPr>
        <w:spacing w:after="0"/>
        <w:rPr>
          <w:sz w:val="20"/>
          <w:szCs w:val="20"/>
        </w:rPr>
      </w:pPr>
      <w:r w:rsidRPr="0053700C">
        <w:rPr>
          <w:sz w:val="20"/>
          <w:szCs w:val="20"/>
        </w:rPr>
        <w:t>Sub-units of departments may have their own organization</w:t>
      </w:r>
      <w:r w:rsidR="00A30DF7">
        <w:rPr>
          <w:sz w:val="20"/>
          <w:szCs w:val="20"/>
        </w:rPr>
        <w:t>al</w:t>
      </w:r>
      <w:r w:rsidRPr="0053700C">
        <w:rPr>
          <w:sz w:val="20"/>
          <w:szCs w:val="20"/>
        </w:rPr>
        <w:t xml:space="preserve"> chart. This will help with departments that are very large. For example, the Department of Facilities has several sub-units including Housekeeping, Grounds, Maintenance, etc.</w:t>
      </w:r>
    </w:p>
    <w:p w:rsidR="00A54545" w:rsidRPr="0053700C" w:rsidRDefault="00A54545" w:rsidP="00A54545">
      <w:pPr>
        <w:pStyle w:val="Heading1"/>
        <w:rPr>
          <w:b/>
          <w:sz w:val="24"/>
          <w:szCs w:val="24"/>
        </w:rPr>
      </w:pPr>
      <w:r w:rsidRPr="0053700C">
        <w:rPr>
          <w:b/>
          <w:color w:val="auto"/>
          <w:sz w:val="24"/>
          <w:szCs w:val="24"/>
        </w:rPr>
        <w:t>FORMATTING</w:t>
      </w:r>
    </w:p>
    <w:p w:rsidR="00A54545" w:rsidRPr="0053700C" w:rsidRDefault="00A54545" w:rsidP="00A545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3700C">
        <w:rPr>
          <w:sz w:val="20"/>
          <w:szCs w:val="20"/>
        </w:rPr>
        <w:t>Must be printable on an 8 1/2" x 11" letter size sheet of paper</w:t>
      </w:r>
    </w:p>
    <w:p w:rsidR="00A54545" w:rsidRPr="0053700C" w:rsidRDefault="00A54545" w:rsidP="00A545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3700C">
        <w:rPr>
          <w:sz w:val="20"/>
          <w:szCs w:val="20"/>
        </w:rPr>
        <w:t>Page orientation should be landscape</w:t>
      </w:r>
    </w:p>
    <w:p w:rsidR="00A54545" w:rsidRPr="0053700C" w:rsidRDefault="00A54545" w:rsidP="00A545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3700C">
        <w:rPr>
          <w:sz w:val="20"/>
          <w:szCs w:val="20"/>
        </w:rPr>
        <w:t>Rectangle shapes should be used, other graphics or shapes should be avoided</w:t>
      </w:r>
    </w:p>
    <w:p w:rsidR="00A54545" w:rsidRPr="0053700C" w:rsidRDefault="00A54545" w:rsidP="00A545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3700C">
        <w:rPr>
          <w:sz w:val="20"/>
          <w:szCs w:val="20"/>
        </w:rPr>
        <w:t>Must be formatted in plain black and white to ensure legibility</w:t>
      </w:r>
    </w:p>
    <w:sectPr w:rsidR="00A54545" w:rsidRPr="0053700C" w:rsidSect="00A545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A8" w:rsidRDefault="002469A8" w:rsidP="00DE7CDC">
      <w:pPr>
        <w:spacing w:after="0" w:line="240" w:lineRule="auto"/>
      </w:pPr>
      <w:r>
        <w:separator/>
      </w:r>
    </w:p>
  </w:endnote>
  <w:endnote w:type="continuationSeparator" w:id="0">
    <w:p w:rsidR="002469A8" w:rsidRDefault="002469A8" w:rsidP="00DE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A8" w:rsidRDefault="002469A8" w:rsidP="00DE7CDC">
      <w:pPr>
        <w:spacing w:after="0" w:line="240" w:lineRule="auto"/>
      </w:pPr>
      <w:r>
        <w:separator/>
      </w:r>
    </w:p>
  </w:footnote>
  <w:footnote w:type="continuationSeparator" w:id="0">
    <w:p w:rsidR="002469A8" w:rsidRDefault="002469A8" w:rsidP="00DE7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309"/>
    <w:multiLevelType w:val="hybridMultilevel"/>
    <w:tmpl w:val="5E7A08EC"/>
    <w:lvl w:ilvl="0" w:tplc="6E8677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34F1"/>
    <w:multiLevelType w:val="hybridMultilevel"/>
    <w:tmpl w:val="CD105430"/>
    <w:lvl w:ilvl="0" w:tplc="6E8677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F6CD7"/>
    <w:multiLevelType w:val="hybridMultilevel"/>
    <w:tmpl w:val="7070E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061BB"/>
    <w:multiLevelType w:val="hybridMultilevel"/>
    <w:tmpl w:val="D7740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55D46"/>
    <w:multiLevelType w:val="hybridMultilevel"/>
    <w:tmpl w:val="FD04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C53AC"/>
    <w:multiLevelType w:val="hybridMultilevel"/>
    <w:tmpl w:val="583A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01081"/>
    <w:multiLevelType w:val="hybridMultilevel"/>
    <w:tmpl w:val="B8541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45"/>
    <w:rsid w:val="000C4BDB"/>
    <w:rsid w:val="002469A8"/>
    <w:rsid w:val="005160C0"/>
    <w:rsid w:val="0052482D"/>
    <w:rsid w:val="0053700C"/>
    <w:rsid w:val="00A30DF7"/>
    <w:rsid w:val="00A54545"/>
    <w:rsid w:val="00DE7CDC"/>
    <w:rsid w:val="00E1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D98DB"/>
  <w15:chartTrackingRefBased/>
  <w15:docId w15:val="{8C47207E-6078-43BC-A59C-DEE28186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5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54545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54545"/>
    <w:rPr>
      <w:rFonts w:ascii="Arial" w:eastAsiaTheme="minorEastAsia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A5454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45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545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CDC"/>
  </w:style>
  <w:style w:type="paragraph" w:styleId="Footer">
    <w:name w:val="footer"/>
    <w:basedOn w:val="Normal"/>
    <w:link w:val="FooterChar"/>
    <w:uiPriority w:val="99"/>
    <w:unhideWhenUsed/>
    <w:rsid w:val="00DE7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Linh-An Doan</dc:creator>
  <cp:keywords/>
  <dc:description/>
  <cp:lastModifiedBy>Linh-An T Doan</cp:lastModifiedBy>
  <cp:revision>2</cp:revision>
  <cp:lastPrinted>2016-10-31T13:27:00Z</cp:lastPrinted>
  <dcterms:created xsi:type="dcterms:W3CDTF">2017-07-05T12:47:00Z</dcterms:created>
  <dcterms:modified xsi:type="dcterms:W3CDTF">2017-07-05T12:47:00Z</dcterms:modified>
</cp:coreProperties>
</file>